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outlineLvl w:val="0"/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kern w:val="36"/>
          <w:sz w:val="25"/>
          <w:szCs w:val="25"/>
          <w:lang w:eastAsia="ru-RU"/>
        </w:rPr>
        <w:t>Примеры схем электроснабжения жилых зданий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Электроснабжение квартир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Как правило,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электроснабжение жилых зданий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осуществляется через главный распределительный щит (ГРЩ) или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вводнораспределительное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устройство (ВРУ). При этом питание всех потребителей осуществляется от сети напряжением 380/220</w:t>
      </w:r>
      <w:proofErr w:type="gram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</w:t>
      </w:r>
      <w:proofErr w:type="gram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глухозаземленной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(система Т1М-5).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В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состав ГРЩ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входят автоматы защиты и устройства управления, позволяющие раздельно отключать потребители электропитания. Мощность ГРЩ выбирается с учетом обеспечения возможности дополнительного подключения </w:t>
      </w:r>
      <w:hyperlink r:id="rId4" w:history="1">
        <w:r w:rsidRPr="00A62D55">
          <w:rPr>
            <w:rFonts w:ascii="Tahoma" w:eastAsia="Times New Roman" w:hAnsi="Tahoma" w:cs="Tahoma"/>
            <w:color w:val="40546A"/>
            <w:sz w:val="19"/>
            <w:u w:val="single"/>
            <w:lang w:eastAsia="ru-RU"/>
          </w:rPr>
          <w:t>наружного освещения</w:t>
        </w:r>
      </w:hyperlink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здания, наружной световой рекламы и т. д. 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br/>
        <w:t xml:space="preserve">В ГРЩ производится распределение напряжения электропитания по групповым потребителям (освещение лестничных площадок, подвалов, чердаков, лифтовое оборудование, пожарная и аварийная сигнализации, жилые помещения и прочее).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соответствии с действующими ПУЭ и постановлениями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Главгосэнергонадзора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России в жилых зданиях металлические корпуса электрооборудования, относящегося к приборам класса защиты I, должны присоединяться к защитным проводникам, а сети штепсельных розеток выполняться трехпроходными.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Электроснабжение жилых помещений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(квартир) осуществляется по стоякам, через </w:t>
      </w:r>
      <w:hyperlink r:id="rId5" w:history="1">
        <w:r w:rsidRPr="00A62D55">
          <w:rPr>
            <w:rFonts w:ascii="Tahoma" w:eastAsia="Times New Roman" w:hAnsi="Tahoma" w:cs="Tahoma"/>
            <w:color w:val="40546A"/>
            <w:sz w:val="19"/>
            <w:u w:val="single"/>
            <w:lang w:eastAsia="ru-RU"/>
          </w:rPr>
          <w:t>устройства защитного отключения</w:t>
        </w:r>
      </w:hyperlink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(УЗО). В свою очередь к питающим стоякам подключаются этажные </w:t>
      </w:r>
      <w:hyperlink r:id="rId6" w:history="1">
        <w:r w:rsidRPr="00A62D55">
          <w:rPr>
            <w:rFonts w:ascii="Tahoma" w:eastAsia="Times New Roman" w:hAnsi="Tahoma" w:cs="Tahoma"/>
            <w:color w:val="40546A"/>
            <w:sz w:val="19"/>
            <w:u w:val="single"/>
            <w:lang w:eastAsia="ru-RU"/>
          </w:rPr>
          <w:t>распределительные щитки</w:t>
        </w:r>
      </w:hyperlink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, образующие групповую сеть электропитания по квартирам.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Типовые схемы электроснабжения жилых зданий</w:t>
      </w:r>
    </w:p>
    <w:p w:rsidR="00A62D55" w:rsidRPr="00A62D55" w:rsidRDefault="00A62D55" w:rsidP="00A62D55">
      <w:pPr>
        <w:shd w:val="clear" w:color="auto" w:fill="F7F7F7"/>
        <w:spacing w:after="0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зависимости от схемы подключения нулевого рабочего проводника изменяются и условия применения УЗО. Так, в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системе заземления типа </w:t>
      </w:r>
      <w:proofErr w:type="gramStart"/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ТТ</w:t>
      </w:r>
      <w:proofErr w:type="gram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чувствительность УЗО определяется сопротивлением заземления при выбранном предельном безопасном напряжении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(Табл. 1).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Порог чувствительности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I</w:t>
      </w:r>
      <w:r w:rsidRPr="00A62D55">
        <w:rPr>
          <w:rFonts w:ascii="Tahoma" w:eastAsia="Times New Roman" w:hAnsi="Tahoma" w:cs="Tahoma"/>
          <w:color w:val="40546A"/>
          <w:sz w:val="19"/>
          <w:szCs w:val="19"/>
          <w:vertAlign w:val="subscript"/>
          <w:lang w:eastAsia="ru-RU"/>
        </w:rPr>
        <w:t>Δn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УЗО рассчитывается по формуле: </w:t>
      </w: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inline distT="0" distB="0" distL="0" distR="0">
            <wp:extent cx="762000" cy="238125"/>
            <wp:effectExtent l="19050" t="0" r="0" b="0"/>
            <wp:docPr id="1" name="Рисунок 1" descr="formu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rmula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где U</w:t>
      </w:r>
      <w:r w:rsidRPr="00A62D55">
        <w:rPr>
          <w:rFonts w:ascii="Tahoma" w:eastAsia="Times New Roman" w:hAnsi="Tahoma" w:cs="Tahoma"/>
          <w:color w:val="40546A"/>
          <w:sz w:val="19"/>
          <w:szCs w:val="19"/>
          <w:vertAlign w:val="subscript"/>
          <w:lang w:eastAsia="ru-RU"/>
        </w:rPr>
        <w:t>L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- предельное безопасное напряжение, а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R</w:t>
      </w:r>
      <w:r w:rsidRPr="00A62D55">
        <w:rPr>
          <w:rFonts w:ascii="Tahoma" w:eastAsia="Times New Roman" w:hAnsi="Tahoma" w:cs="Tahoma"/>
          <w:color w:val="40546A"/>
          <w:sz w:val="19"/>
          <w:szCs w:val="19"/>
          <w:vertAlign w:val="subscript"/>
          <w:lang w:eastAsia="ru-RU"/>
        </w:rPr>
        <w:t>m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- сопротивление заземления.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Таблица 1.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95"/>
        <w:gridCol w:w="1905"/>
        <w:gridCol w:w="4373"/>
      </w:tblGrid>
      <w:tr w:rsidR="00A62D55" w:rsidRPr="00A62D55" w:rsidTr="00A62D55">
        <w:tc>
          <w:tcPr>
            <w:tcW w:w="2895" w:type="dxa"/>
            <w:vMerge w:val="restart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Чувствительность УЗО [мА] </w:t>
            </w:r>
          </w:p>
        </w:tc>
        <w:tc>
          <w:tcPr>
            <w:tcW w:w="0" w:type="auto"/>
            <w:gridSpan w:val="2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Сопротивление заземления [Ом] </w:t>
            </w:r>
          </w:p>
        </w:tc>
      </w:tr>
      <w:tr w:rsidR="00A62D55" w:rsidRPr="00A62D55" w:rsidTr="00A62D55">
        <w:tc>
          <w:tcPr>
            <w:tcW w:w="0" w:type="auto"/>
            <w:vMerge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vAlign w:val="center"/>
            <w:hideMark/>
          </w:tcPr>
          <w:p w:rsidR="00A62D55" w:rsidRPr="00A62D55" w:rsidRDefault="00A62D55" w:rsidP="00A62D5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безопасное напряжение 25</w:t>
            </w:r>
            <w:proofErr w:type="gramStart"/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Предельное безопасное напряжение 50</w:t>
            </w:r>
            <w:proofErr w:type="gramStart"/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A62D55" w:rsidRPr="00A62D55" w:rsidTr="00A62D55"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2500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5000 </w:t>
            </w:r>
          </w:p>
        </w:tc>
      </w:tr>
      <w:tr w:rsidR="00A62D55" w:rsidRPr="00A62D55" w:rsidTr="00A62D55"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830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1660 </w:t>
            </w:r>
          </w:p>
        </w:tc>
      </w:tr>
      <w:tr w:rsidR="00A62D55" w:rsidRPr="00A62D55" w:rsidTr="00A62D55"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250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500 </w:t>
            </w:r>
          </w:p>
        </w:tc>
      </w:tr>
      <w:tr w:rsidR="00A62D55" w:rsidRPr="00A62D55" w:rsidTr="00A62D55"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83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166 </w:t>
            </w:r>
          </w:p>
        </w:tc>
      </w:tr>
      <w:tr w:rsidR="00A62D55" w:rsidRPr="00A62D55" w:rsidTr="00A62D55"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50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100 </w:t>
            </w:r>
          </w:p>
        </w:tc>
      </w:tr>
      <w:tr w:rsidR="00A62D55" w:rsidRPr="00A62D55" w:rsidTr="00A62D55"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650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38.5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77 </w:t>
            </w:r>
          </w:p>
        </w:tc>
      </w:tr>
      <w:tr w:rsidR="00A62D55" w:rsidRPr="00A62D55" w:rsidTr="00A62D55"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1000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25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50 </w:t>
            </w:r>
          </w:p>
        </w:tc>
      </w:tr>
      <w:tr w:rsidR="00A62D55" w:rsidRPr="00A62D55" w:rsidTr="00A62D55"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3000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8 </w:t>
            </w:r>
          </w:p>
        </w:tc>
        <w:tc>
          <w:tcPr>
            <w:tcW w:w="0" w:type="auto"/>
            <w:tcBorders>
              <w:top w:val="single" w:sz="6" w:space="0" w:color="C6CFDA"/>
              <w:left w:val="single" w:sz="6" w:space="0" w:color="C6CFDA"/>
              <w:bottom w:val="single" w:sz="6" w:space="0" w:color="C6CFDA"/>
              <w:right w:val="single" w:sz="6" w:space="0" w:color="C6CFDA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A62D55" w:rsidRPr="00A62D55" w:rsidRDefault="00A62D55" w:rsidP="00A62D5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2D5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&lt; 16 </w:t>
            </w:r>
          </w:p>
        </w:tc>
      </w:tr>
    </w:tbl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В системе TN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нулевой защитный проводник соединен с нулевым рабочим проводником (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). Поэтому пробой фазного проводника на корпус вызовет короткое замыкание между фазой и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нейтралью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В результате должно сработать устройство защиты от короткого замыкания (автоматический выключатель или предохранитель). В этом случае очень важно правильно подобрать номинальное значение тока устройства защиты и длину защищаемой линии. Для защиты людей используются УЗО с чувствительностью 30 или 10 мА.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В системе IT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за счет большого сопротивления между точками заземления источника и потребителя, ток утечки ограничен. При пробое изоляции фазного проводника система приобретает вид TN.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Применение УЗО на действующем жилом объекте с двухпроводными электрическими сетями, где оборудование не имеет за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softHyphen/>
        <w:t xml:space="preserve">щитного заземления, позволяет повысить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электробезопасность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 снизить вероятность возникновения пожаров, возникающих из-за неисправной электропроводки. Установка УЗО в данном случае рекомендуется как временная мера повышения уровня безопасности в период до проведения полной реконструкции объекта. Схему подключения УЗО поясняет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Рис. 1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. В качестве УЗО здесь используется дифференциальный автоматический выклю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softHyphen/>
        <w:t xml:space="preserve">чатель, установленный на входе линии питания.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При использовании «обычного» УЗО последовательно с ним необходимо включить автоматический выключатель — для защиты от сверхтоков. Для нормального функционирования УЗО необхо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softHyphen/>
        <w:t xml:space="preserve">димо обеспечить формирование дифференциального тока при возникновении утечки тока на землю. Дифференциальный ток появится только в случае утечки через заземленный проводник, не подключенный к УЗО. Поскольку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нейтраль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N проходит через УЗО, необходимо до места подключения УЗО разделить проводник PEN на проводники N и РЕ. При этом проводник РЕ должен быть под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softHyphen/>
        <w:t xml:space="preserve">ключен к электрооборудованию непосредственно. Не допускается его размыкание или исполнение в виде временного проводника.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lastRenderedPageBreak/>
        <w:drawing>
          <wp:inline distT="0" distB="0" distL="0" distR="0">
            <wp:extent cx="3371850" cy="3676650"/>
            <wp:effectExtent l="19050" t="0" r="0" b="0"/>
            <wp:docPr id="2" name="Рисунок 2" descr="схема электроснабжения з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хема электроснабжения здания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67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Рис. 1.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Схема электроснабжения в двухпроводной сети с применением УЗО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Для объектов нового строительства рекомендована, в частности,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система TN - C - S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Она подразумевает заземление металлических корпусов электрооборудования и подключение розеток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трехпроводными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проводами. Схема электроснабжения типовой квартиры, поясняющая подключение УЗО, показана на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Рис. 2. 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УЗО в этом случае должно осуществлять защиту максимального числа линий и оборудования.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inline distT="0" distB="0" distL="0" distR="0">
            <wp:extent cx="3533775" cy="3600450"/>
            <wp:effectExtent l="19050" t="0" r="9525" b="0"/>
            <wp:docPr id="3" name="Рисунок 3" descr="схема электроснабжения з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схема электроснабжения здания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3600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Рис. 2. 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Схема электроснабжения типовой квартиры с системой заземления TN - C - S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lastRenderedPageBreak/>
        <w:t xml:space="preserve">На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Рис. 3 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и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4 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приведены примеры схем электроснабжения квартир повышенной комфортности. При объединении групповых линий для защиты одним УЗО следует учитывать возможность их одновременного отключения. Кроме того, в многоступенчатых схемах необходимо выполнять условия селективности, то есть функции отключения с задержкой.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inline distT="0" distB="0" distL="0" distR="0">
            <wp:extent cx="4619625" cy="3152775"/>
            <wp:effectExtent l="19050" t="0" r="9525" b="0"/>
            <wp:docPr id="4" name="Рисунок 4" descr="схема электроснабжения з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схема электроснабжения здания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9625" cy="315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Рис. 3.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Схема электроснабжения квартиры повышенной комфортности (вариант 1)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В схеме, приведенной на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Рис. 3, 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на вводной линии установлен дифференциальный автоматический выключатель с током срабатывания 300 мА.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Этот дифференциальный автомат обеспечивает защиту электропроводки и оборудования при возникновении утечки на корпус, а также повышает пожарную безопасность цепи электропитания квартиры. Кроме того, он обеспечивает некоторую задержку отключения. Из двухпроводной линии формируется система TN - C - S. Для непосредственной защиты людей в групповые цепи питания потребителей установлены дополнительные дифференциальные автоматические выключатели. В цепи питания розеток и стационарного электрооборудования включены устройства с дифференциальным током срабатывания 30 мА, а для помещений с повышенной опасностью используется более чувствительное устройство с током срабатывания 10 мА. На 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Рис. 4 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приведена схема электроснабжения квартиры повышенной комфортности с трехфазным вводом.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На вводе установлен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четырехпроводный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дифференциальный автоматический выключатель с током отключения 300 мА и временной задержкой отключения. Для</w:t>
      </w: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 xml:space="preserve"> учета расхода электроэнергии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используется трехфазный </w:t>
      </w:r>
      <w:hyperlink r:id="rId11" w:history="1">
        <w:r w:rsidRPr="00A62D55">
          <w:rPr>
            <w:rFonts w:ascii="Tahoma" w:eastAsia="Times New Roman" w:hAnsi="Tahoma" w:cs="Tahoma"/>
            <w:color w:val="40546A"/>
            <w:sz w:val="19"/>
            <w:u w:val="single"/>
            <w:lang w:eastAsia="ru-RU"/>
          </w:rPr>
          <w:t>электросчетчик</w:t>
        </w:r>
      </w:hyperlink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Потребители электроэнергии подключаются ко всем трем фазам с учетом оптимальной нагрузки на все линии.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На современных объектах индивидуального строительства (коттеджи, дачные, садовые дома и т. д.) требуется применение повышенных мер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электробезопасности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Это связано с высокой </w:t>
      </w:r>
      <w:proofErr w:type="spell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энергонасыщенностью</w:t>
      </w:r>
      <w:proofErr w:type="spell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, разветвленностью электрических сетей и спецификой </w:t>
      </w:r>
      <w:proofErr w:type="gramStart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>эксплуатации</w:t>
      </w:r>
      <w:proofErr w:type="gramEnd"/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 как самих объектов, так и электрооборудования. При выборе схемы электроснабжения типа УЗО и распределительных щитков следует обратить внимание на необходимость использования ограничителей перенапряжений (грозовых разрядников), которые следует устанавливать до УЗО. В индивидуальных домах рекомендуется использовать УЗО с номинальным током, не превышающим 30 мА, — для групповых линий, питающих ванные комнаты, душевые и сауны, а также штепсельные розетки (внутри дома, в подвалах, встроенных и пристроенных гаражах). Для линий, обеспечивающих наружную установку штепсельных розеток, применение УЗО с номинальным током, не превышающим 30 мА, обязательно.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lastRenderedPageBreak/>
        <w:drawing>
          <wp:inline distT="0" distB="0" distL="0" distR="0">
            <wp:extent cx="4552950" cy="3124200"/>
            <wp:effectExtent l="19050" t="0" r="0" b="0"/>
            <wp:docPr id="5" name="Рисунок 5" descr="схема электроснабжения з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схема электроснабжения здания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Рис. 4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Схема электроснабжения квартиры повышенной комфортности (вариант 2) </w:t>
      </w:r>
    </w:p>
    <w:p w:rsidR="00A62D55" w:rsidRPr="00A62D55" w:rsidRDefault="00A62D55" w:rsidP="00A62D5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>
        <w:rPr>
          <w:rFonts w:ascii="Tahoma" w:eastAsia="Times New Roman" w:hAnsi="Tahoma" w:cs="Tahoma"/>
          <w:noProof/>
          <w:color w:val="40546A"/>
          <w:sz w:val="19"/>
          <w:szCs w:val="19"/>
          <w:lang w:eastAsia="ru-RU"/>
        </w:rPr>
        <w:drawing>
          <wp:inline distT="0" distB="0" distL="0" distR="0">
            <wp:extent cx="4524375" cy="3276600"/>
            <wp:effectExtent l="19050" t="0" r="9525" b="0"/>
            <wp:docPr id="6" name="Рисунок 6" descr="схема электроснабжения зда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хема электроснабжения здания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437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62B7" w:rsidRPr="00665D15" w:rsidRDefault="00A62D55" w:rsidP="00665D15">
      <w:pPr>
        <w:shd w:val="clear" w:color="auto" w:fill="F7F7F7"/>
        <w:spacing w:before="100" w:beforeAutospacing="1" w:after="100" w:afterAutospacing="1" w:line="240" w:lineRule="auto"/>
        <w:rPr>
          <w:rFonts w:ascii="Tahoma" w:eastAsia="Times New Roman" w:hAnsi="Tahoma" w:cs="Tahoma"/>
          <w:color w:val="40546A"/>
          <w:sz w:val="19"/>
          <w:szCs w:val="19"/>
          <w:lang w:eastAsia="ru-RU"/>
        </w:rPr>
      </w:pPr>
      <w:r w:rsidRPr="00A62D55">
        <w:rPr>
          <w:rFonts w:ascii="Tahoma" w:eastAsia="Times New Roman" w:hAnsi="Tahoma" w:cs="Tahoma"/>
          <w:b/>
          <w:bCs/>
          <w:color w:val="40546A"/>
          <w:sz w:val="19"/>
          <w:lang w:eastAsia="ru-RU"/>
        </w:rPr>
        <w:t>Рис. 5</w:t>
      </w:r>
      <w:r w:rsidRPr="00A62D55">
        <w:rPr>
          <w:rFonts w:ascii="Tahoma" w:eastAsia="Times New Roman" w:hAnsi="Tahoma" w:cs="Tahoma"/>
          <w:color w:val="40546A"/>
          <w:sz w:val="19"/>
          <w:szCs w:val="19"/>
          <w:lang w:eastAsia="ru-RU"/>
        </w:rPr>
        <w:t xml:space="preserve">. Схема электроснабжения коттеджа с системой заземления TN - C - S </w:t>
      </w:r>
    </w:p>
    <w:sectPr w:rsidR="007662B7" w:rsidRPr="00665D15" w:rsidSect="00CC5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D55"/>
    <w:rsid w:val="003C1C71"/>
    <w:rsid w:val="00665D15"/>
    <w:rsid w:val="00A62D55"/>
    <w:rsid w:val="00B93748"/>
    <w:rsid w:val="00CC5983"/>
    <w:rsid w:val="00DB51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983"/>
  </w:style>
  <w:style w:type="paragraph" w:styleId="1">
    <w:name w:val="heading 1"/>
    <w:basedOn w:val="a"/>
    <w:link w:val="10"/>
    <w:uiPriority w:val="9"/>
    <w:qFormat/>
    <w:rsid w:val="00A62D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62D55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styleId="a3">
    <w:name w:val="Hyperlink"/>
    <w:basedOn w:val="a0"/>
    <w:uiPriority w:val="99"/>
    <w:semiHidden/>
    <w:unhideWhenUsed/>
    <w:rsid w:val="00A62D55"/>
    <w:rPr>
      <w:color w:val="40546A"/>
      <w:u w:val="single"/>
    </w:rPr>
  </w:style>
  <w:style w:type="paragraph" w:styleId="a4">
    <w:name w:val="Normal (Web)"/>
    <w:basedOn w:val="a"/>
    <w:uiPriority w:val="99"/>
    <w:semiHidden/>
    <w:unhideWhenUsed/>
    <w:rsid w:val="00A62D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62D55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62D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62D5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71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82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26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9699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8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mu1.ru/articles/view/41/" TargetMode="External"/><Relationship Id="rId11" Type="http://schemas.openxmlformats.org/officeDocument/2006/relationships/hyperlink" Target="http://www.nmu1.ru/articles/view/36/" TargetMode="External"/><Relationship Id="rId5" Type="http://schemas.openxmlformats.org/officeDocument/2006/relationships/hyperlink" Target="http://www.nmu1.ru/articles/view/38/" TargetMode="External"/><Relationship Id="rId15" Type="http://schemas.openxmlformats.org/officeDocument/2006/relationships/theme" Target="theme/theme1.xml"/><Relationship Id="rId10" Type="http://schemas.openxmlformats.org/officeDocument/2006/relationships/image" Target="media/image4.jpeg"/><Relationship Id="rId4" Type="http://schemas.openxmlformats.org/officeDocument/2006/relationships/hyperlink" Target="http://www.nmu1.ru/articles/view/18/" TargetMode="Externa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1111</Words>
  <Characters>6333</Characters>
  <Application>Microsoft Office Word</Application>
  <DocSecurity>0</DocSecurity>
  <Lines>52</Lines>
  <Paragraphs>14</Paragraphs>
  <ScaleCrop>false</ScaleCrop>
  <Company/>
  <LinksUpToDate>false</LinksUpToDate>
  <CharactersWithSpaces>7430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4</cp:revision>
  <dcterms:created xsi:type="dcterms:W3CDTF">2009-10-29T06:14:00Z</dcterms:created>
  <dcterms:modified xsi:type="dcterms:W3CDTF">2009-11-13T06:55:00Z</dcterms:modified>
</cp:coreProperties>
</file>